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18" w:rsidRPr="00B71818" w:rsidRDefault="00B71818" w:rsidP="00B71818">
      <w:pPr>
        <w:spacing w:before="100" w:beforeAutospacing="1" w:after="100" w:afterAutospacing="1" w:line="240" w:lineRule="auto"/>
        <w:jc w:val="center"/>
        <w:rPr>
          <w:rFonts w:ascii="Arial" w:eastAsia="Times New Roman" w:hAnsi="Arial" w:cs="Arial"/>
          <w:color w:val="737373"/>
          <w:sz w:val="21"/>
          <w:szCs w:val="21"/>
          <w:lang w:eastAsia="ru-RU"/>
        </w:rPr>
      </w:pPr>
      <w:r w:rsidRPr="00B71818">
        <w:rPr>
          <w:rFonts w:ascii="Arial" w:eastAsia="Times New Roman" w:hAnsi="Arial" w:cs="Arial"/>
          <w:color w:val="FF0000"/>
          <w:sz w:val="21"/>
          <w:szCs w:val="21"/>
          <w:lang w:eastAsia="ru-RU"/>
        </w:rPr>
        <w:t>ПРАВИЛА</w:t>
      </w:r>
    </w:p>
    <w:p w:rsidR="00B71818" w:rsidRPr="00B71818" w:rsidRDefault="00B71818" w:rsidP="00B71818">
      <w:pPr>
        <w:spacing w:before="100" w:beforeAutospacing="1" w:after="100" w:afterAutospacing="1" w:line="240" w:lineRule="auto"/>
        <w:jc w:val="center"/>
        <w:rPr>
          <w:rFonts w:ascii="Arial" w:eastAsia="Times New Roman" w:hAnsi="Arial" w:cs="Arial"/>
          <w:color w:val="737373"/>
          <w:sz w:val="21"/>
          <w:szCs w:val="21"/>
          <w:lang w:eastAsia="ru-RU"/>
        </w:rPr>
      </w:pPr>
      <w:r w:rsidRPr="00B71818">
        <w:rPr>
          <w:rFonts w:ascii="Arial" w:eastAsia="Times New Roman" w:hAnsi="Arial" w:cs="Arial"/>
          <w:color w:val="FF0000"/>
          <w:sz w:val="21"/>
          <w:szCs w:val="21"/>
          <w:lang w:eastAsia="ru-RU"/>
        </w:rPr>
        <w:t>ПРИЕМА ЗАЯВОК НА ПЕРЕВОЗКУ ГРУЗОВ</w:t>
      </w:r>
    </w:p>
    <w:p w:rsidR="00B71818" w:rsidRPr="00B71818" w:rsidRDefault="00B71818" w:rsidP="00B71818">
      <w:pPr>
        <w:spacing w:before="100" w:beforeAutospacing="1" w:after="100" w:afterAutospacing="1" w:line="240" w:lineRule="auto"/>
        <w:jc w:val="center"/>
        <w:rPr>
          <w:rFonts w:ascii="Arial" w:eastAsia="Times New Roman" w:hAnsi="Arial" w:cs="Arial"/>
          <w:color w:val="737373"/>
          <w:sz w:val="21"/>
          <w:szCs w:val="21"/>
          <w:lang w:eastAsia="ru-RU"/>
        </w:rPr>
      </w:pPr>
      <w:r w:rsidRPr="00B71818">
        <w:rPr>
          <w:rFonts w:ascii="Arial" w:eastAsia="Times New Roman" w:hAnsi="Arial" w:cs="Arial"/>
          <w:color w:val="FF0000"/>
          <w:sz w:val="21"/>
          <w:szCs w:val="21"/>
          <w:lang w:eastAsia="ru-RU"/>
        </w:rPr>
        <w:t>ЖЕЛЕЗНОДОРОЖНЫМ ТРАНСПОРТОМ</w:t>
      </w:r>
    </w:p>
    <w:p w:rsidR="00B71818" w:rsidRPr="00B71818" w:rsidRDefault="00B71818" w:rsidP="00B71818">
      <w:pPr>
        <w:spacing w:before="100" w:beforeAutospacing="1" w:after="100" w:afterAutospacing="1" w:line="240" w:lineRule="auto"/>
        <w:jc w:val="center"/>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 </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 Настоящие правила в соответствии со статьей 12 Федерального закона от 10 января 2003 года N 17-ФЗ "Устав железнодорожного транспорта Российской Федерации" (Собрание законодательства Российской Федерации, 2003, N 2, ст. 170) (далее - Устав) устанавливают форму заявки на перевозку грузов железнодорожным транспортом (далее - заявка на перевозку грузов), правила и порядок ее оформления и представления грузоотправителями, организациями, осуществляющими перевалку грузов с водного транспорта на железнодорожный транспорт (далее - организация, осуществляющая перевалку грузов), перевозчику, а также порядок рассмотрения заявок перевозчиком и владельцем инфраструктуры железнодорожного транспорта общего пользования (далее - владелец инфраструктуры).</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2. В соответствии со статьей 11 Устава перевозка грузов железнодорожным транспортом осуществляется на основании принятой перевозчиком к исполнению (согласованной)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Форма заявки на перевозку грузов является единой для всех участников перевозочного процесса на железнодорожном транспорте и приведена в приложении N 1 к настоящим Правилам.</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3. Грузоотправители, организации, осуществляющие перевалку грузов, представляют отдельную заявку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 каждой железнодорожной станции (далее - станция) отправления;</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 каждой номенклатурной группе груза;</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 признакам отправки: в вагонах (</w:t>
      </w:r>
      <w:proofErr w:type="spellStart"/>
      <w:r w:rsidRPr="00B71818">
        <w:rPr>
          <w:rFonts w:ascii="Arial" w:eastAsia="Times New Roman" w:hAnsi="Arial" w:cs="Arial"/>
          <w:color w:val="808080"/>
          <w:sz w:val="21"/>
          <w:szCs w:val="21"/>
          <w:lang w:eastAsia="ru-RU"/>
        </w:rPr>
        <w:t>повагонными</w:t>
      </w:r>
      <w:proofErr w:type="spellEnd"/>
      <w:r w:rsidRPr="00B71818">
        <w:rPr>
          <w:rFonts w:ascii="Arial" w:eastAsia="Times New Roman" w:hAnsi="Arial" w:cs="Arial"/>
          <w:color w:val="808080"/>
          <w:sz w:val="21"/>
          <w:szCs w:val="21"/>
          <w:lang w:eastAsia="ru-RU"/>
        </w:rPr>
        <w:t>, групповыми, маршрутными отправками); в контейнерах; мелкими отправками;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 признакам принадлежности </w:t>
      </w:r>
      <w:hyperlink r:id="rId4" w:history="1">
        <w:r w:rsidRPr="00B71818">
          <w:rPr>
            <w:rFonts w:ascii="Arial" w:eastAsia="Times New Roman" w:hAnsi="Arial" w:cs="Arial"/>
            <w:b/>
            <w:bCs/>
            <w:color w:val="666666"/>
            <w:sz w:val="21"/>
            <w:szCs w:val="21"/>
            <w:lang w:eastAsia="ru-RU"/>
          </w:rPr>
          <w:t>вагонов</w:t>
        </w:r>
      </w:hyperlink>
      <w:r w:rsidRPr="00B71818">
        <w:rPr>
          <w:rFonts w:ascii="Arial" w:eastAsia="Times New Roman" w:hAnsi="Arial" w:cs="Arial"/>
          <w:color w:val="808080"/>
          <w:sz w:val="21"/>
          <w:szCs w:val="21"/>
          <w:lang w:eastAsia="ru-RU"/>
        </w:rPr>
        <w:t>, контейнеров;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 видам сообщений (в прямом железнодорожном сообщении, в прямом смешанном сообщении; в прямом и непрямом международном сообщениях (за исключением импорта и транзита) через российские пограничные передаточные станции, в непрямом международном сообщении через российские порты).</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Заявки на перевозку грузов в прямом и непрямом международном сообщениях через пограничные передаточные станции представляются отдельно по каждой пограничной выходной передаточной станции Российской Федерации, Латвийской Республики, Литовской Республики и Эстонской Республики, а на перевозку грузов в прямом и непрямом международном сообщении через порты - отдельно по каждому порту и пункту перевалки наливных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Заявки на перевозку грузов в контейнерах предоставляются отдельно по каждому виду контейнеров массой брутто: 3 тонны, 5 тонн, от 5 тонн до 10 тонн, до 25 тонн включительно, свыше 25 тонн.</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lastRenderedPageBreak/>
        <w:t>Заявки на перевозку грузов в вагонах представляются с указанием количества вагонов и тонн, на</w:t>
      </w:r>
      <w:hyperlink r:id="rId5" w:history="1">
        <w:r w:rsidRPr="00B71818">
          <w:rPr>
            <w:rFonts w:ascii="Arial" w:eastAsia="Times New Roman" w:hAnsi="Arial" w:cs="Arial"/>
            <w:b/>
            <w:bCs/>
            <w:color w:val="666666"/>
            <w:sz w:val="21"/>
            <w:szCs w:val="21"/>
            <w:lang w:eastAsia="ru-RU"/>
          </w:rPr>
          <w:t xml:space="preserve"> контейнеры</w:t>
        </w:r>
      </w:hyperlink>
      <w:r w:rsidRPr="00B71818">
        <w:rPr>
          <w:rFonts w:ascii="Arial" w:eastAsia="Times New Roman" w:hAnsi="Arial" w:cs="Arial"/>
          <w:color w:val="808080"/>
          <w:sz w:val="21"/>
          <w:szCs w:val="21"/>
          <w:lang w:eastAsia="ru-RU"/>
        </w:rPr>
        <w:t> - с указанием количества контейнеров, мелкими отправками - с указанием количества тонн.</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Заявки на перевозку грузов на своих осях представляются с указанием количества единиц груза и тонн.</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перевозке в составе поездного формирования, не принадлежащего перевозчику, дополнительно к заявке на перевозку грузов железнодорожным транспортом подается заявка на перевозку грузов в составе поездного формирования, не принадлежащего перевозчику, в соответствии с правилами перевозок грузов в поездах, сформированных из локомотивов и вагонов, принадлежащих на праве собственности или ином праве грузоотправителям, грузополучателям, иным юридическим и физическим лицам, не являющимся перевозчиками на железнодорожном транспорте.</w:t>
      </w:r>
    </w:p>
    <w:p w:rsidR="00B71818" w:rsidRPr="00B71818" w:rsidRDefault="00B71818" w:rsidP="00B71818">
      <w:pPr>
        <w:spacing w:before="100" w:beforeAutospacing="1" w:after="100" w:afterAutospacing="1" w:line="240" w:lineRule="auto"/>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(абзац введен Приказом Минтранса РФ от 25.12.2007 N 196)</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4. В соответствии со статей 11 Устава заявки на перевозку грузов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и непрямом международном сообщениях, в прямом и непрямом смешанном сообщениях, а также если пунктами назначения указаны порты, пункты по перевалке наливных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Датой представления заявки на перевозку грузов перевозчику является дата ее получения перевозчиком. При этом перевозчик в графе "номер заявки" указывает регистрационный номер заявки.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заявке на перевозку грузов указывается срок ее действия, который не должен превышать 45 дней.</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соответствии со статей 11 Устава по просьбам грузоотправителей и организаций, осуществляющих перевалку грузов,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соответствии со статей 11 Устава перевозки грузов, предназначенных для ликвидации последствий чрезвычайных ситуаций, осуществляются перевозчиками на основании заявок на перевозку грузов по мере предъявления таких грузов для перевозок.</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Заявки на перевозку грузов представляются в уполномоченные перевозчиком подразделения, перечень которых с указанием их места нахождения устанавливается перевозчиком и доводится до сведения грузоотправителей и организаций, осуществляющих перевалку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5. Заявки на перевозку грузов представляются перевозчику в бумажном виде по почте или нарочным, если иной способ предоставления заявок (например, с помощью факсимильной связи, средств электронной связи) не предусмотрен соглашением сторон.</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Порядок и условия представления перевозчику заявок на перевозку грузов в электронном виде устанавливаются в договоре об электронном обмене данными или в договоре об электронном обмене документами между перевозчиком и грузоотправителем, а при перевозках грузов в прямом смешанном водно-железнодорожном сообщении - между перевозчиком и организацией, осуществляющей перевалку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 соглашению сторон перевозчик может обеспечивать грузоотправителей бланками заявок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lastRenderedPageBreak/>
        <w:t>6. При получении заявки на перевозку грузов в бумажном виде перевозчик регистрирует ее с указанием даты в строке "Дата регистрации заявки" или наложением календарного штемпеля перевозчика. Дата поступления заявки на перевозку грузов в электронном виде на согласование к перевозчику регистрируется в порядке, установленном в договоре об электронном обмене данными или в договоре об электронном обмене документами.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7. Заявки на перевозку грузов в бумажном виде представляются перевозчику в трех экземплярах, каждый из которых подписывается грузоотправителем, организацией, осуществляющей перевалку грузов, и заверяется печатью, применяемой при финансовых операциях.</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Один экземпляр заявки на перевозку грузов предназначается для перевозчика, один для владельца инфраструктуры, один для последующего возвращения грузоотправителю, организации, осуществляющей перевалку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Заявки на перевозку грузов в электронном виде представляются перевозчику:</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наличии договора об электронном обмене документами между перевозчиком и грузоотправителем, организацией, осуществляющей перевалку грузов, подписанными электронно-цифровой подписью (далее - ЭЦП) грузоотправителя, организации, осуществляющей перевалку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наличии договора об обмене электронными данными между перевозчиком и грузоотправителем, организацией, осуществляющей перевалку грузов, - с последующим представлением в трех экземплярах бумажной копии, согласованной перевозчиком электронной заявки на перевозку грузов, каждый из которых подписан грузоотправителем, организацией, осуществляющей перевалку грузов, и заверен печатью, применяемой при финансовых операциях.</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737373"/>
          <w:sz w:val="21"/>
          <w:szCs w:val="21"/>
          <w:lang w:eastAsia="ru-RU"/>
        </w:rPr>
        <w:t> </w:t>
      </w:r>
      <w:r w:rsidRPr="00B71818">
        <w:rPr>
          <w:rFonts w:ascii="Arial" w:eastAsia="Times New Roman" w:hAnsi="Arial" w:cs="Arial"/>
          <w:color w:val="808080"/>
          <w:sz w:val="21"/>
          <w:szCs w:val="21"/>
          <w:lang w:eastAsia="ru-RU"/>
        </w:rPr>
        <w:t>(По вопросу, касающемуся применения последнего абзаца пункта 7, см. телеграмму МПС РФ от 22.09.2003 N Ш-9179.)</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отправлении грузов с железнодорожного пути необщего пользования, не принадлежащего грузоотправителю, заявка на перевозку грузов представляется перевозчику после ее согласования грузоотправителем с владельцем указанного железнодорожного пути необщего пользования, о чем в строке "Отметка о результатах рассмотрения заявки владельцем железнодорожного пути необщего пользования" делается запись "согласовано", которая заверяется печатью владельца пути необщего пользования или ЭЦП при наличии договора об электронном обмене документами.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8. За достоверность сведений, внесенных в заявку на перевозку грузов, несет ответственность грузоотправитель, организация, осуществляющая перевалку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9. Заявки на перевозку грузов заполняются машинописным, в том числе компьютерным способом, без помарок в порядке, предусмотренном в приложении N 2 к настоящим Правилам.</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10. Заявки на перевозку грузов, оформленные с нарушением требований настоящих Правил, возвращаются перевозчиком грузоотправителю, организации, осуществляющей перевалку грузов, без рассмотрения.</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11. Перевозчик обязан рассмотреть поступившую заявку на перевозку грузов в течение двух дней. Срок рассмотрения заявки на перевозку грузов исчисляется от даты регистрации ее поступления перевозчику.</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 xml:space="preserve">В случае возможности осуществления перевозки в строке заявки на перевозку грузов "Отметка согласования перевозчиком" указывается перевозчиком "Согласовано" или "Согласовано частично", а также проставляется дата и подпись уполномоченного лица </w:t>
      </w:r>
      <w:r w:rsidRPr="00B71818">
        <w:rPr>
          <w:rFonts w:ascii="Arial" w:eastAsia="Times New Roman" w:hAnsi="Arial" w:cs="Arial"/>
          <w:color w:val="808080"/>
          <w:sz w:val="21"/>
          <w:szCs w:val="21"/>
          <w:lang w:eastAsia="ru-RU"/>
        </w:rPr>
        <w:lastRenderedPageBreak/>
        <w:t>перевозчика с указанием его должности и заверяется печатью перевозчика или ЭЦП при наличии договора об электронном обмене документами.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Под частичным согласованием понимается согласие перевозчика на выполнение заявки на перевозку грузов при условии ее частичного обоснованного изменения по объемам перевозимых грузов, по видам принадлежащего перевозчику железнодорожного подвижного состава, по направлениям перевозки или иным, указанным в заявке на перевозку грузов, параметрам без изменения признака принадлежности железнодорожного подвижного состава. При частичном согласовании заявки на перевозку грузов перевозчиком к заявке на перевозку грузов прикладывается в трех экземплярах документ по форме, установленной МПС России (далее - документ) с указанием частично согласованных параметров заявки на перевозку грузов.</w:t>
      </w:r>
    </w:p>
    <w:p w:rsidR="00B71818" w:rsidRPr="00B71818" w:rsidRDefault="00B71818" w:rsidP="00B71818">
      <w:pPr>
        <w:spacing w:before="100" w:beforeAutospacing="1" w:after="100" w:afterAutospacing="1" w:line="240" w:lineRule="auto"/>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ред. Приказа Минтранса РФ от 25.11.2008 N 195)</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Согласованная или согласованная частично перевозчиком заявка на перевозку грузов направляется для согласования владельцу инфраструктуры, в расположении которого находится станция отправления.</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соответствии со статей 11 Устава перевозчик имеет право отказать в согласовании заявки на перевозку грузов в случае:</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введения согласно статье 29 Устава прекращения или ограничения погрузки, перевозки грузов по маршруту следования груза;</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отказа владельца инфраструктуры в согласовании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обоснованного отсутствия технических и технологических возможностей осуществления перевозки;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ином случае, предусмотренном Уставом, иными нормативными правовыми актами.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этих случаях перевозчик возвращает заявку на перевозку грузов с указанием причин отказа грузоотправителю, организации, осуществляющей перевалку грузов. При этом в строке заявки "Дата согласования заявки" перевозчиком указывается "Отказано", а также проставляется дата с подписью уполномоченного лица перевозчика с указанием его должности и заверяется печатью перевозчика или ЭЦП при наличии договора об электронном обмене документами.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12. В соответствии со статей 11 Устава владелец инфраструктуры рассматривает представленные перевозчиком заявки на перевозку грузов и в срок не более чем пять дней при перевозках грузов в прямом железнодорожном сообщении и не более чем десять дней при перевозках в прямом и непрямом международном сообщениях, прямом и непрямом смешанном сообщениях, а также если пунктами назначения указаны порты, возвращает заявку перевозчику с отметкой о результате согласования. В необходимых случаях владелец инфраструктуры в пределах указанного срока согласовывает параметры заявки на перевозку грузов с другими владельцами инфраструктур, организациями других видов транспорта, железными дорогами иностранных государств.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этом в заявке на перевозку грузов в строке "Отметка о результатах рассмотрения заявки владельцем инфраструктуры" владельцем инфраструктуры указывается "Согласовано", "Согласовано частично" или "Отказано", а также проставляется дата с подписью уполномоченного лица владельца инфраструктуры с указанием его должности и заверенная печатью владельца инфраструктуры или ЭЦП при наличии договора об электронном обмене документами.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lastRenderedPageBreak/>
        <w:t>При частичном согласовании заявки на перевозку грузов владельцем инфраструктуры к заявке прикладывается в трех экземплярах документ по форме, установленной МПС России, с указанием частично согласованных параметров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соответствии со статей 11 Устава владелец инфраструктуры имеет право отказать перевозчику в согласовании заявки на перевозку грузов в случае:</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отсутствия договора об оказании услуг по использованию инфраструктуры;</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отказа организаций смежных видов транспорта в согласовании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отказа железных дорог иностранных государств в согласовании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отказа других владельцев инфраструктур в согласовании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введения согласно статье 29 Устава прекращения или ограничения погрузки, перевозки грузов по маршруту следования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обоснованного отсутствия технических и технологических возможностей осуществления перевозки;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ином случае, предусмотренном Уставом, иными нормативными правовыми актами.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После получения заявки на перевозку грузов от владельца инфраструктуры перевозчиком в строке заявки "Дата согласования заявки" в зависимости от результатов ее рассмотрения указывается "Согласовано", "Согласовано частично" или "Отказано", а также проставляется дата и подпись уполномоченного лица перевозчика с указанием должности и заверяется печатью перевозчика или ЭЦП при наличии договора об электронном обмене документами.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Заявка на перевозку грузов с результатами ее согласования возвращается перевозчиком грузоотправителю, организации, осуществляющей перевалку груза, не позднее чем за три дня до заявленного срока перевозки.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случае отказа в согласовании или частичного согласования заявки на перевозку грузов грузоотправителю, организации, осуществляющей перевалку грузов, наряду с экземпляром заявки на перевозку грузов направляется обоснование причины отказа или частичного согласования.</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несогласии с частичным согласованием заявки грузоотправитель, организация, осуществляющая перевалку груза, обязаны не позднее чем за двое суток до заявленного срока перевозки уведомить об этом перевозчика, а перевозчик соответственно проинформировать владельца инфраструктуры. При этом учетная карточка не оформляется и штраф за невыполнение заявки с грузоотправителя, организации, осуществляющей перевалку груза, и перевозчика не взыскивается.</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случае отсутствия письменного отказа грузоотправителя согласованная частично заявка на перевозку грузов принимается перевозчиком к исполнению.</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Отказ в приеме и согласовании заявки на перевозку грузов может быть обжалован в судебном порядке.</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поступлении заявки на перевозку грузов на согласование в бумажном виде перевозчик возвращает грузоотправителю, организации, осуществляющей перевалку груза, один экземпляр заявки с отметкой о ее согласовании или два экземпляра заявки на перевозку грузов с приложенным мотивированным отказом.</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lastRenderedPageBreak/>
        <w:t>Порядок возврата перевозчиком согласованных или несогласованных заявок на перевозку грузов, поступивших на согласование в электронном виде, устанавливается в договоре об электронном обмене данными или в договоре об электронном обмене документами между перевозчиком и грузоотправителем, а при перевозках грузов в прямом смешанном водно-железнодорожном сообщении - между перевозчиком и организацией, осуществляющей перевалку грузов с водного транспорта на железнодорожный транспорт.</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13. В соответствии со статей 11 Устава в целях организации своевременного выполнения принятых заявок на перевозку грузов,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14. Перечень критериев технических и технологических возможностей осуществления перевозки, отсутствие которых является для владельца инфраструктуры и перевозчика основанием отказа от согласования заявки на перевозку грузов, утверждается МПС России.</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 xml:space="preserve">15. Перевозчик по письменному обращению грузоотправителя, организации, осуществляющей перевалку груза, и по согласованию с владельцем инфраструктуры может вносить изменения в согласованные заявки на перевозку грузов в части, касающейся перераспределения грузов по станциям назначения, в том числе </w:t>
      </w:r>
      <w:proofErr w:type="gramStart"/>
      <w:r w:rsidRPr="00B71818">
        <w:rPr>
          <w:rFonts w:ascii="Arial" w:eastAsia="Times New Roman" w:hAnsi="Arial" w:cs="Arial"/>
          <w:color w:val="808080"/>
          <w:sz w:val="21"/>
          <w:szCs w:val="21"/>
          <w:lang w:eastAsia="ru-RU"/>
        </w:rPr>
        <w:t>при перевозки</w:t>
      </w:r>
      <w:proofErr w:type="gramEnd"/>
      <w:r w:rsidRPr="00B71818">
        <w:rPr>
          <w:rFonts w:ascii="Arial" w:eastAsia="Times New Roman" w:hAnsi="Arial" w:cs="Arial"/>
          <w:color w:val="808080"/>
          <w:sz w:val="21"/>
          <w:szCs w:val="21"/>
          <w:lang w:eastAsia="ru-RU"/>
        </w:rPr>
        <w:t xml:space="preserve"> грузов в прямом и непрямом международном сообщении, в прямом и непрямом смешанном сообщении, а также - станциям отправления. Порядок внесения указанных изменений устанавливается перевозчиком. За внесение указанных изменений грузоотправитель, организация, осуществляющая перевалку груза, если иное не установлено соглашением сторон, уплачивает перевозчику сбор, предусмотренный в статье 11 Устава.</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Перевозчик может по обращению грузоотправителя в письменном или электронном виде и по согласованию с владельцем инфраструктуры (в необходимых случаях) вносить изменения в отдельные параметры согласованной заявки на перевозку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16. Данные принятых заявок на перевозку грузов заносятся в учетную карточку, порядок ведения и оформления которой определяется правилами составления учетной карточки выполнения заявки на перевозку грузов железнодорожным транспортом.</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17. В соответствии со статьей 11 Устава перевозчик имеет право заменять предусмотренный заявкой на перевозку грузов железнодорожный подвижной состав одного вида железнодорожным подвижным составом другого вида, если перевозки грузов железнодорожным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этом изменение признака принадлежности железнодорожного подвижного состава не допускается, а замена железнодорожного подвижного состава, не принадлежащего перевозчику, производится с согласия грузоотправителя.</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При перевозках в прямом и непрямом международном сообщении, а также если пунктом назначения являются порты, замена железнодорожного подвижного состава производится по согласованию с владельцем инфраструктуры.</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В соответствии со статьей 11 Устава о замене предусмотренного заявкой на перевозку грузов железнодорожного подвижного состава одного вида железнодорожным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B71818" w:rsidRPr="00B71818" w:rsidRDefault="00B71818" w:rsidP="00B71818">
      <w:pPr>
        <w:spacing w:before="100" w:beforeAutospacing="1" w:after="100" w:afterAutospacing="1" w:line="240" w:lineRule="auto"/>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(п. 17 в ред. Приказа Минтранса РФ от 25.11.2008 N 195)</w:t>
      </w:r>
    </w:p>
    <w:p w:rsidR="00B71818" w:rsidRPr="00B71818" w:rsidRDefault="00B71818" w:rsidP="00B71818">
      <w:pPr>
        <w:spacing w:before="100" w:beforeAutospacing="1" w:after="100" w:afterAutospacing="1" w:line="240" w:lineRule="auto"/>
        <w:ind w:firstLine="540"/>
        <w:jc w:val="both"/>
        <w:rPr>
          <w:rFonts w:ascii="Arial" w:eastAsia="Times New Roman" w:hAnsi="Arial" w:cs="Arial"/>
          <w:color w:val="737373"/>
          <w:sz w:val="21"/>
          <w:szCs w:val="21"/>
          <w:lang w:eastAsia="ru-RU"/>
        </w:rPr>
      </w:pPr>
      <w:r w:rsidRPr="00B71818">
        <w:rPr>
          <w:rFonts w:ascii="Arial" w:eastAsia="Times New Roman" w:hAnsi="Arial" w:cs="Arial"/>
          <w:color w:val="808080"/>
          <w:sz w:val="21"/>
          <w:szCs w:val="21"/>
          <w:lang w:eastAsia="ru-RU"/>
        </w:rPr>
        <w:t xml:space="preserve">18. Прием заявок на перевозки грузов для личных, семейных, домашних и иных нужд, не связанных с осуществлением предпринимательской деятельности, регулируется Уставом, </w:t>
      </w:r>
      <w:r w:rsidRPr="00B71818">
        <w:rPr>
          <w:rFonts w:ascii="Arial" w:eastAsia="Times New Roman" w:hAnsi="Arial" w:cs="Arial"/>
          <w:color w:val="808080"/>
          <w:sz w:val="21"/>
          <w:szCs w:val="21"/>
          <w:lang w:eastAsia="ru-RU"/>
        </w:rPr>
        <w:lastRenderedPageBreak/>
        <w:t xml:space="preserve">правилами оказания услуг по перевозкам пассажиров, а также грузов, багажа и </w:t>
      </w:r>
      <w:proofErr w:type="spellStart"/>
      <w:r w:rsidRPr="00B71818">
        <w:rPr>
          <w:rFonts w:ascii="Arial" w:eastAsia="Times New Roman" w:hAnsi="Arial" w:cs="Arial"/>
          <w:color w:val="808080"/>
          <w:sz w:val="21"/>
          <w:szCs w:val="21"/>
          <w:lang w:eastAsia="ru-RU"/>
        </w:rPr>
        <w:t>грузобагажа</w:t>
      </w:r>
      <w:proofErr w:type="spellEnd"/>
      <w:r w:rsidRPr="00B71818">
        <w:rPr>
          <w:rFonts w:ascii="Arial" w:eastAsia="Times New Roman" w:hAnsi="Arial" w:cs="Arial"/>
          <w:color w:val="808080"/>
          <w:sz w:val="21"/>
          <w:szCs w:val="21"/>
          <w:lang w:eastAsia="ru-RU"/>
        </w:rPr>
        <w:t xml:space="preserve"> для личных, семейных, домашних и иных нужд, не связанных с осуществлением предпринимательской деятельности.</w:t>
      </w:r>
    </w:p>
    <w:p w:rsidR="00333C04" w:rsidRDefault="0053529F" w:rsidP="00B71818">
      <w:bookmarkStart w:id="0" w:name="_GoBack"/>
      <w:bookmarkEnd w:id="0"/>
    </w:p>
    <w:sectPr w:rsidR="0033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18"/>
    <w:rsid w:val="00024C90"/>
    <w:rsid w:val="0053529F"/>
    <w:rsid w:val="00B71818"/>
    <w:rsid w:val="00C7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27F8A-86F8-4860-AEE4-F10AA908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818"/>
    <w:rPr>
      <w:b/>
      <w:bCs/>
      <w:strike w:val="0"/>
      <w:dstrike w:val="0"/>
      <w:color w:val="666666"/>
      <w:sz w:val="21"/>
      <w:szCs w:val="21"/>
      <w:u w:val="none"/>
      <w:effect w:val="none"/>
    </w:rPr>
  </w:style>
  <w:style w:type="paragraph" w:customStyle="1" w:styleId="consplustitle">
    <w:name w:val="consplustitle"/>
    <w:basedOn w:val="a"/>
    <w:rsid w:val="00B71818"/>
    <w:pPr>
      <w:spacing w:before="100" w:beforeAutospacing="1" w:after="100" w:afterAutospacing="1" w:line="240" w:lineRule="auto"/>
    </w:pPr>
    <w:rPr>
      <w:rFonts w:ascii="Arial" w:eastAsia="Times New Roman" w:hAnsi="Arial" w:cs="Arial"/>
      <w:color w:val="737373"/>
      <w:sz w:val="21"/>
      <w:szCs w:val="21"/>
      <w:lang w:eastAsia="ru-RU"/>
    </w:rPr>
  </w:style>
  <w:style w:type="paragraph" w:customStyle="1" w:styleId="consplusnormal">
    <w:name w:val="consplusnormal"/>
    <w:basedOn w:val="a"/>
    <w:rsid w:val="00B71818"/>
    <w:pPr>
      <w:spacing w:before="100" w:beforeAutospacing="1" w:after="100" w:afterAutospacing="1" w:line="240" w:lineRule="auto"/>
    </w:pPr>
    <w:rPr>
      <w:rFonts w:ascii="Arial" w:eastAsia="Times New Roman" w:hAnsi="Arial" w:cs="Arial"/>
      <w:color w:val="73737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79747">
      <w:bodyDiv w:val="1"/>
      <w:marLeft w:val="0"/>
      <w:marRight w:val="0"/>
      <w:marTop w:val="0"/>
      <w:marBottom w:val="0"/>
      <w:divBdr>
        <w:top w:val="none" w:sz="0" w:space="0" w:color="auto"/>
        <w:left w:val="none" w:sz="0" w:space="0" w:color="auto"/>
        <w:bottom w:val="none" w:sz="0" w:space="0" w:color="auto"/>
        <w:right w:val="none" w:sz="0" w:space="0" w:color="auto"/>
      </w:divBdr>
      <w:divsChild>
        <w:div w:id="1374579734">
          <w:marLeft w:val="150"/>
          <w:marRight w:val="150"/>
          <w:marTop w:val="150"/>
          <w:marBottom w:val="150"/>
          <w:divBdr>
            <w:top w:val="none" w:sz="0" w:space="0" w:color="auto"/>
            <w:left w:val="none" w:sz="0" w:space="0" w:color="auto"/>
            <w:bottom w:val="none" w:sz="0" w:space="0" w:color="auto"/>
            <w:right w:val="none" w:sz="0" w:space="0" w:color="auto"/>
          </w:divBdr>
          <w:divsChild>
            <w:div w:id="2016759669">
              <w:marLeft w:val="0"/>
              <w:marRight w:val="0"/>
              <w:marTop w:val="0"/>
              <w:marBottom w:val="0"/>
              <w:divBdr>
                <w:top w:val="none" w:sz="0" w:space="0" w:color="auto"/>
                <w:left w:val="none" w:sz="0" w:space="0" w:color="auto"/>
                <w:bottom w:val="none" w:sz="0" w:space="0" w:color="auto"/>
                <w:right w:val="none" w:sz="0" w:space="0" w:color="auto"/>
              </w:divBdr>
              <w:divsChild>
                <w:div w:id="1233203287">
                  <w:marLeft w:val="-135"/>
                  <w:marRight w:val="-135"/>
                  <w:marTop w:val="0"/>
                  <w:marBottom w:val="0"/>
                  <w:divBdr>
                    <w:top w:val="single" w:sz="6" w:space="4" w:color="D4D0C8"/>
                    <w:left w:val="single" w:sz="6" w:space="4" w:color="D4D0C8"/>
                    <w:bottom w:val="single" w:sz="6" w:space="4" w:color="D4D0C8"/>
                    <w:right w:val="single" w:sz="6" w:space="4" w:color="D4D0C8"/>
                  </w:divBdr>
                  <w:divsChild>
                    <w:div w:id="17029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uzivagon.ru/index.php/container" TargetMode="External"/><Relationship Id="rId4" Type="http://schemas.openxmlformats.org/officeDocument/2006/relationships/hyperlink" Target="http://gruzivagon.ru/index.php/component/mculc/?task=vgnm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ПАО "МегаФон"</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Kharicheva (CNT)</dc:creator>
  <cp:keywords/>
  <dc:description/>
  <cp:lastModifiedBy>Tatyana Kharicheva (CNT)</cp:lastModifiedBy>
  <cp:revision>2</cp:revision>
  <dcterms:created xsi:type="dcterms:W3CDTF">2018-04-02T11:42:00Z</dcterms:created>
  <dcterms:modified xsi:type="dcterms:W3CDTF">2018-04-02T11:43:00Z</dcterms:modified>
</cp:coreProperties>
</file>